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F8" w:rsidRPr="0068497A" w:rsidRDefault="00236EF8" w:rsidP="00236EF8">
      <w:pPr>
        <w:pStyle w:val="Heading1"/>
        <w:rPr>
          <w:sz w:val="28"/>
          <w:szCs w:val="28"/>
        </w:rPr>
      </w:pPr>
      <w:r w:rsidRPr="0068497A">
        <w:rPr>
          <w:sz w:val="28"/>
          <w:szCs w:val="28"/>
        </w:rPr>
        <w:t>Caution and Disclaimer</w:t>
      </w:r>
    </w:p>
    <w:p w:rsidR="00236EF8" w:rsidRDefault="00236EF8" w:rsidP="00236EF8">
      <w:pPr>
        <w:jc w:val="both"/>
      </w:pPr>
    </w:p>
    <w:p w:rsidR="00236EF8" w:rsidRDefault="00236EF8" w:rsidP="00236EF8">
      <w:pPr>
        <w:jc w:val="both"/>
      </w:pPr>
      <w:r>
        <w:t>The Wealth from Water information and material in LIST</w:t>
      </w:r>
      <w:r>
        <w:rPr>
          <w:i/>
          <w:iCs/>
        </w:rPr>
        <w:t>map</w:t>
      </w:r>
      <w:r>
        <w:t xml:space="preserve"> (including the enterprise sustainability and soil attribute maps) (“material”) is based on computer modeling of the potential suitability of specific agricultural enterprises to a given area and, as such, there are inherent uncertainties in the results.   While every effort has been made to ensure the material is accurate, the Crown in Right of Tasmania (“Crown”) and the Tas</w:t>
      </w:r>
      <w:r w:rsidR="0068497A">
        <w:t>manian Institute of Agriculture</w:t>
      </w:r>
      <w:r>
        <w:t xml:space="preserve"> (“TIA”) provide no warranty, guarantee or representation that the material is accurate, complete, up to date, non-infringing or fit for a particular purpose. </w:t>
      </w:r>
    </w:p>
    <w:p w:rsidR="00236EF8" w:rsidRDefault="00236EF8" w:rsidP="00236EF8">
      <w:pPr>
        <w:jc w:val="both"/>
      </w:pPr>
    </w:p>
    <w:p w:rsidR="00236EF8" w:rsidRDefault="00236EF8" w:rsidP="00236EF8">
      <w:pPr>
        <w:pStyle w:val="BodyText"/>
      </w:pPr>
      <w:r>
        <w:t>Furthermore, the Crown and TIA expressly disclaim all and any legal liability and responsibility whatsoever arising from or connected with:</w:t>
      </w:r>
    </w:p>
    <w:p w:rsidR="00236EF8" w:rsidRDefault="00236EF8" w:rsidP="00236EF8">
      <w:pPr>
        <w:pStyle w:val="BodyText"/>
      </w:pPr>
      <w:r>
        <w:t>(a)</w:t>
      </w:r>
      <w:r>
        <w:tab/>
      </w:r>
      <w:proofErr w:type="gramStart"/>
      <w:r>
        <w:t>the</w:t>
      </w:r>
      <w:proofErr w:type="gramEnd"/>
      <w:r>
        <w:t xml:space="preserve"> accuracy, reliability, validity, currency or completeness of the material; </w:t>
      </w:r>
    </w:p>
    <w:p w:rsidR="00236EF8" w:rsidRDefault="00236EF8" w:rsidP="00236EF8">
      <w:pPr>
        <w:pStyle w:val="BodyText"/>
      </w:pPr>
      <w:r>
        <w:t>(b)</w:t>
      </w:r>
      <w:r>
        <w:tab/>
        <w:t>the consequences of anything done or omitted to be done by any person, either in whole or in part, in reliance of the material.</w:t>
      </w:r>
    </w:p>
    <w:p w:rsidR="00236EF8" w:rsidRDefault="00236EF8" w:rsidP="00236EF8">
      <w:pPr>
        <w:pStyle w:val="BodyText"/>
      </w:pPr>
    </w:p>
    <w:p w:rsidR="00236EF8" w:rsidRDefault="00236EF8" w:rsidP="00236EF8">
      <w:pPr>
        <w:jc w:val="both"/>
      </w:pPr>
      <w:r>
        <w:t xml:space="preserve">The material does not take into account personal circumstances.  The material is made available on the understanding that the Crown and TIA are not providing professional advice and that users of this material should undertake site-specific investigations and research and obtain appropriate professional advice relevant to their particular circumstances.   </w:t>
      </w:r>
    </w:p>
    <w:p w:rsidR="00236EF8" w:rsidRDefault="00236EF8" w:rsidP="00236EF8">
      <w:pPr>
        <w:pStyle w:val="BodyText"/>
      </w:pPr>
    </w:p>
    <w:p w:rsidR="00236EF8" w:rsidRDefault="00236EF8" w:rsidP="00236EF8">
      <w:pPr>
        <w:pStyle w:val="BodyText"/>
      </w:pPr>
      <w:r>
        <w:t>The relevant maps that form part of the material have been prepared at 1:50,000 scale.    These maps consider only physical soil, topographic and climate constraints and do not take into account other parameters or any legislative, regulatory and/or policy requirements of Federal, State or Local Governments that apply to the land in question and/or which could affect the proposed land use or agricultural enterprise.</w:t>
      </w:r>
    </w:p>
    <w:p w:rsidR="008A5AD2" w:rsidRDefault="008A5AD2"/>
    <w:sectPr w:rsidR="008A5AD2" w:rsidSect="00726F9C">
      <w:headerReference w:type="even" r:id="rId7"/>
      <w:headerReference w:type="default" r:id="rId8"/>
      <w:footerReference w:type="even" r:id="rId9"/>
      <w:footerReference w:type="default" r:id="rId10"/>
      <w:headerReference w:type="first" r:id="rId11"/>
      <w:footerReference w:type="first" r:id="rId12"/>
      <w:pgSz w:w="11907" w:h="1190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FCB" w:rsidRDefault="00FB6FCB" w:rsidP="00FB6FCB">
      <w:r>
        <w:separator/>
      </w:r>
    </w:p>
  </w:endnote>
  <w:endnote w:type="continuationSeparator" w:id="0">
    <w:p w:rsidR="00FB6FCB" w:rsidRDefault="00FB6FCB" w:rsidP="00FB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9915F2">
    <w:pPr>
      <w:pStyle w:val="Footer"/>
    </w:pPr>
    <w:r>
      <w:t xml:space="preserve"> </w:t>
    </w:r>
    <w:r>
      <w:rPr>
        <w:noProof/>
        <w:lang w:val="en-AU" w:eastAsia="en-AU"/>
      </w:rPr>
      <w:drawing>
        <wp:inline distT="0" distB="0" distL="0" distR="0" wp14:anchorId="2102EFB3" wp14:editId="08B26618">
          <wp:extent cx="1036243"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A_horz_5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6901" cy="543270"/>
                  </a:xfrm>
                  <a:prstGeom prst="rect">
                    <a:avLst/>
                  </a:prstGeom>
                </pic:spPr>
              </pic:pic>
            </a:graphicData>
          </a:graphic>
        </wp:inline>
      </w:drawing>
    </w:r>
    <w:r>
      <w:t xml:space="preserve">  </w:t>
    </w:r>
    <w:r>
      <w:tab/>
      <w:t xml:space="preserve">  </w:t>
    </w:r>
    <w:r>
      <w:rPr>
        <w:noProof/>
      </w:rPr>
      <w:drawing>
        <wp:inline distT="0" distB="0" distL="0" distR="0" wp14:anchorId="3F0365CF" wp14:editId="00658DCB">
          <wp:extent cx="390833" cy="504825"/>
          <wp:effectExtent l="19050" t="0" r="9217" b="0"/>
          <wp:docPr id="1" name="Picture 0" descr="U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AS.png"/>
                  <pic:cNvPicPr/>
                </pic:nvPicPr>
                <pic:blipFill>
                  <a:blip r:embed="rId2"/>
                  <a:stretch>
                    <a:fillRect/>
                  </a:stretch>
                </pic:blipFill>
                <pic:spPr>
                  <a:xfrm>
                    <a:off x="0" y="0"/>
                    <a:ext cx="390833" cy="504825"/>
                  </a:xfrm>
                  <a:prstGeom prst="rect">
                    <a:avLst/>
                  </a:prstGeom>
                </pic:spPr>
              </pic:pic>
            </a:graphicData>
          </a:graphic>
        </wp:inline>
      </w:drawing>
    </w:r>
    <w:r>
      <w:t xml:space="preserve">   </w:t>
    </w:r>
    <w:r>
      <w:tab/>
      <w:t xml:space="preserve">   </w:t>
    </w:r>
    <w:r w:rsidR="00FB6FCB">
      <w:rPr>
        <w:noProof/>
      </w:rPr>
      <w:drawing>
        <wp:inline distT="0" distB="0" distL="0" distR="0" wp14:anchorId="52FD652F" wp14:editId="5E1F9E01">
          <wp:extent cx="1415670" cy="504825"/>
          <wp:effectExtent l="19050" t="0" r="0" b="0"/>
          <wp:docPr id="4" name="Picture 3" descr="TasGov_Hor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Gov_HorC.eps"/>
                  <pic:cNvPicPr/>
                </pic:nvPicPr>
                <pic:blipFill>
                  <a:blip r:embed="rId3"/>
                  <a:stretch>
                    <a:fillRect/>
                  </a:stretch>
                </pic:blipFill>
                <pic:spPr>
                  <a:xfrm>
                    <a:off x="0" y="0"/>
                    <a:ext cx="1428114" cy="509263"/>
                  </a:xfrm>
                  <a:prstGeom prst="rect">
                    <a:avLst/>
                  </a:prstGeom>
                </pic:spPr>
              </pic:pic>
            </a:graphicData>
          </a:graphic>
        </wp:inline>
      </w:drawing>
    </w:r>
    <w:r w:rsidR="00FB6FC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FCB" w:rsidRDefault="00FB6FCB" w:rsidP="00FB6FCB">
      <w:r>
        <w:separator/>
      </w:r>
    </w:p>
  </w:footnote>
  <w:footnote w:type="continuationSeparator" w:id="0">
    <w:p w:rsidR="00FB6FCB" w:rsidRDefault="00FB6FCB" w:rsidP="00FB6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F8"/>
    <w:rsid w:val="00236EF8"/>
    <w:rsid w:val="0068497A"/>
    <w:rsid w:val="00726F9C"/>
    <w:rsid w:val="008A5AD2"/>
    <w:rsid w:val="009915F2"/>
    <w:rsid w:val="00D40496"/>
    <w:rsid w:val="00FB6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F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36EF8"/>
    <w:pPr>
      <w:keepNext/>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EF8"/>
    <w:rPr>
      <w:rFonts w:ascii="Times New Roman" w:eastAsia="Times New Roman" w:hAnsi="Times New Roman" w:cs="Times New Roman"/>
      <w:sz w:val="24"/>
      <w:szCs w:val="24"/>
      <w:u w:val="single"/>
      <w:lang w:val="en-US"/>
    </w:rPr>
  </w:style>
  <w:style w:type="paragraph" w:styleId="BodyText">
    <w:name w:val="Body Text"/>
    <w:basedOn w:val="Normal"/>
    <w:link w:val="BodyTextChar"/>
    <w:semiHidden/>
    <w:rsid w:val="00236EF8"/>
    <w:pPr>
      <w:jc w:val="both"/>
    </w:pPr>
  </w:style>
  <w:style w:type="character" w:customStyle="1" w:styleId="BodyTextChar">
    <w:name w:val="Body Text Char"/>
    <w:basedOn w:val="DefaultParagraphFont"/>
    <w:link w:val="BodyText"/>
    <w:semiHidden/>
    <w:rsid w:val="00236EF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B6FCB"/>
    <w:pPr>
      <w:tabs>
        <w:tab w:val="center" w:pos="4513"/>
        <w:tab w:val="right" w:pos="9026"/>
      </w:tabs>
    </w:pPr>
  </w:style>
  <w:style w:type="character" w:customStyle="1" w:styleId="HeaderChar">
    <w:name w:val="Header Char"/>
    <w:basedOn w:val="DefaultParagraphFont"/>
    <w:link w:val="Header"/>
    <w:uiPriority w:val="99"/>
    <w:rsid w:val="00FB6FC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6FCB"/>
    <w:pPr>
      <w:tabs>
        <w:tab w:val="center" w:pos="4513"/>
        <w:tab w:val="right" w:pos="9026"/>
      </w:tabs>
    </w:pPr>
  </w:style>
  <w:style w:type="character" w:customStyle="1" w:styleId="FooterChar">
    <w:name w:val="Footer Char"/>
    <w:basedOn w:val="DefaultParagraphFont"/>
    <w:link w:val="Footer"/>
    <w:uiPriority w:val="99"/>
    <w:rsid w:val="00FB6FC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B6FCB"/>
    <w:rPr>
      <w:rFonts w:ascii="Tahoma" w:hAnsi="Tahoma" w:cs="Tahoma"/>
      <w:sz w:val="16"/>
      <w:szCs w:val="16"/>
    </w:rPr>
  </w:style>
  <w:style w:type="character" w:customStyle="1" w:styleId="BalloonTextChar">
    <w:name w:val="Balloon Text Char"/>
    <w:basedOn w:val="DefaultParagraphFont"/>
    <w:link w:val="BalloonText"/>
    <w:uiPriority w:val="99"/>
    <w:semiHidden/>
    <w:rsid w:val="00FB6FC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F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36EF8"/>
    <w:pPr>
      <w:keepNext/>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EF8"/>
    <w:rPr>
      <w:rFonts w:ascii="Times New Roman" w:eastAsia="Times New Roman" w:hAnsi="Times New Roman" w:cs="Times New Roman"/>
      <w:sz w:val="24"/>
      <w:szCs w:val="24"/>
      <w:u w:val="single"/>
      <w:lang w:val="en-US"/>
    </w:rPr>
  </w:style>
  <w:style w:type="paragraph" w:styleId="BodyText">
    <w:name w:val="Body Text"/>
    <w:basedOn w:val="Normal"/>
    <w:link w:val="BodyTextChar"/>
    <w:semiHidden/>
    <w:rsid w:val="00236EF8"/>
    <w:pPr>
      <w:jc w:val="both"/>
    </w:pPr>
  </w:style>
  <w:style w:type="character" w:customStyle="1" w:styleId="BodyTextChar">
    <w:name w:val="Body Text Char"/>
    <w:basedOn w:val="DefaultParagraphFont"/>
    <w:link w:val="BodyText"/>
    <w:semiHidden/>
    <w:rsid w:val="00236EF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B6FCB"/>
    <w:pPr>
      <w:tabs>
        <w:tab w:val="center" w:pos="4513"/>
        <w:tab w:val="right" w:pos="9026"/>
      </w:tabs>
    </w:pPr>
  </w:style>
  <w:style w:type="character" w:customStyle="1" w:styleId="HeaderChar">
    <w:name w:val="Header Char"/>
    <w:basedOn w:val="DefaultParagraphFont"/>
    <w:link w:val="Header"/>
    <w:uiPriority w:val="99"/>
    <w:rsid w:val="00FB6FC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6FCB"/>
    <w:pPr>
      <w:tabs>
        <w:tab w:val="center" w:pos="4513"/>
        <w:tab w:val="right" w:pos="9026"/>
      </w:tabs>
    </w:pPr>
  </w:style>
  <w:style w:type="character" w:customStyle="1" w:styleId="FooterChar">
    <w:name w:val="Footer Char"/>
    <w:basedOn w:val="DefaultParagraphFont"/>
    <w:link w:val="Footer"/>
    <w:uiPriority w:val="99"/>
    <w:rsid w:val="00FB6FC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B6FCB"/>
    <w:rPr>
      <w:rFonts w:ascii="Tahoma" w:hAnsi="Tahoma" w:cs="Tahoma"/>
      <w:sz w:val="16"/>
      <w:szCs w:val="16"/>
    </w:rPr>
  </w:style>
  <w:style w:type="character" w:customStyle="1" w:styleId="BalloonTextChar">
    <w:name w:val="Balloon Text Char"/>
    <w:basedOn w:val="DefaultParagraphFont"/>
    <w:link w:val="BalloonText"/>
    <w:uiPriority w:val="99"/>
    <w:semiHidden/>
    <w:rsid w:val="00FB6FC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DPIPWE</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Stickler, Rhys</dc:creator>
  <cp:lastModifiedBy>Stickler, Rhys</cp:lastModifiedBy>
  <cp:revision>6</cp:revision>
  <dcterms:created xsi:type="dcterms:W3CDTF">2012-12-13T04:39:00Z</dcterms:created>
  <dcterms:modified xsi:type="dcterms:W3CDTF">2012-12-13T05:44:00Z</dcterms:modified>
</cp:coreProperties>
</file>